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F1" w:rsidRDefault="00D6433F" w:rsidP="007014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14F1">
        <w:rPr>
          <w:rFonts w:ascii="Times New Roman" w:eastAsia="Times New Roman" w:hAnsi="Times New Roman" w:cs="Times New Roman"/>
          <w:sz w:val="28"/>
          <w:szCs w:val="28"/>
        </w:rPr>
        <w:t>На сегодняшний день формальная логика</w:t>
      </w:r>
      <w:r w:rsidR="002B20B3">
        <w:rPr>
          <w:rFonts w:ascii="Times New Roman" w:eastAsia="Times New Roman" w:hAnsi="Times New Roman" w:cs="Times New Roman"/>
          <w:sz w:val="28"/>
          <w:szCs w:val="28"/>
        </w:rPr>
        <w:t>, логическая семантика</w:t>
      </w:r>
      <w:r w:rsidR="007014F1">
        <w:rPr>
          <w:rFonts w:ascii="Times New Roman" w:eastAsia="Times New Roman" w:hAnsi="Times New Roman" w:cs="Times New Roman"/>
          <w:sz w:val="28"/>
          <w:szCs w:val="28"/>
        </w:rPr>
        <w:t xml:space="preserve"> и аргументация составляют важнейший компонент человеческого бытия. Аргументируя, приобретая возможность соотносить выводы и утверждения, человек, в конечном счёте, приобретает возможность лучше познать мир и себя, определить своё место среди других людей – в мире доступной о них информации. Формальная логика опосредует процесс аргументации, обмен мнениями и логическими позициями. Следовательно, своей актуальности с годами она не утрачивает: вне зависимости от культурно-исторической эпохи, социально-политической системы и уровня научно-технического развития.</w:t>
      </w:r>
    </w:p>
    <w:p w:rsidR="007014F1" w:rsidRPr="007014F1" w:rsidRDefault="007014F1" w:rsidP="00D643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современный век изменений в информационной среде стереотипы и методы рассуждения совершенствуются во многих областях жизнедеятельности. Отвергаются авторитеты, оспариваются позиции – наука учит сомневаться во всём, выводя своеобразные «пороги доказанности» каждого мнения или теории. Сознание личности подвергается воздействию различных, часто противоположных информационных потоков, формы убеждения, подачи информации которыми порой непривычны. Способность к оценке, анализу и аргументации в этих условиях особо важна. Человек воспринимает информацию и тут же аргументирует сам, осуществляется внутренняя рефлексия. Несомненно, наличие подобной рефлексии характерно для аудитории при восприятии права. </w:t>
      </w:r>
    </w:p>
    <w:p w:rsidR="00D6433F" w:rsidRDefault="00D6433F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33F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Pr="00D6433F"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 w:rsidRPr="00D64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3F">
        <w:rPr>
          <w:rFonts w:ascii="Times New Roman" w:hAnsi="Times New Roman" w:cs="Times New Roman"/>
          <w:sz w:val="28"/>
          <w:szCs w:val="28"/>
        </w:rPr>
        <w:t>Готтлоб</w:t>
      </w:r>
      <w:proofErr w:type="spellEnd"/>
      <w:r w:rsidRPr="00D6433F">
        <w:rPr>
          <w:rFonts w:ascii="Times New Roman" w:hAnsi="Times New Roman" w:cs="Times New Roman"/>
          <w:sz w:val="28"/>
          <w:szCs w:val="28"/>
        </w:rPr>
        <w:t xml:space="preserve"> Фреге признаётся одним из наиболее выдающихся исследователей логических оснований математики, теорий счисления. За Г. Фреге по праву закрепляется титул основоположника аналитической философии, современной логики как таковой.</w:t>
      </w:r>
      <w:r>
        <w:rPr>
          <w:rFonts w:ascii="Times New Roman" w:hAnsi="Times New Roman" w:cs="Times New Roman"/>
          <w:sz w:val="28"/>
          <w:szCs w:val="28"/>
        </w:rPr>
        <w:t xml:space="preserve"> Среди последователей Г. Фреге такие исследователи</w:t>
      </w:r>
      <w:r w:rsidR="002B20B3">
        <w:rPr>
          <w:rFonts w:ascii="Times New Roman" w:hAnsi="Times New Roman" w:cs="Times New Roman"/>
          <w:sz w:val="28"/>
          <w:szCs w:val="28"/>
        </w:rPr>
        <w:t xml:space="preserve"> как Б. </w:t>
      </w:r>
      <w:proofErr w:type="spellStart"/>
      <w:r w:rsidR="002B20B3">
        <w:rPr>
          <w:rFonts w:ascii="Times New Roman" w:hAnsi="Times New Roman" w:cs="Times New Roman"/>
          <w:sz w:val="28"/>
          <w:szCs w:val="28"/>
        </w:rPr>
        <w:t>Расселл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этом свете видится важным привлечение к личности Фреге внимания как математиков, так и логиков и не чуждых логики представителей юриспруденции. </w:t>
      </w:r>
    </w:p>
    <w:p w:rsidR="00D6433F" w:rsidRDefault="00D6433F" w:rsidP="0034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Именно Г. Фреге явился основателем одной из наиболее точных описательных теорий современной математической логики, именуемой логической семантикой. Так, понятия логической функции, отношения, свойства заменили типичные предикаты и множества – с их истинностью и однозначностью. </w:t>
      </w:r>
    </w:p>
    <w:p w:rsidR="00D6433F" w:rsidRDefault="00D6433F" w:rsidP="00341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позиции Фреге, знаки, привлекаемые в общем математическом учении о величинах распадаются на две отдельные группы. </w:t>
      </w:r>
      <w:r w:rsidR="003411B8">
        <w:rPr>
          <w:rFonts w:ascii="Times New Roman" w:hAnsi="Times New Roman" w:cs="Times New Roman"/>
          <w:sz w:val="28"/>
          <w:szCs w:val="28"/>
        </w:rPr>
        <w:t xml:space="preserve">Согласно первому, знак тождественен букве, каждая из которых есть, по сути, число, определённостью не обладающее. В то же время знак являет собой неопределённую функцию. Вторая разновидность знаков охватывает знаки вида «+», «0», «1». </w:t>
      </w:r>
    </w:p>
    <w:p w:rsidR="003411B8" w:rsidRPr="006E4A2E" w:rsidRDefault="003411B8" w:rsidP="006E4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Суть различия двух видов знаков -  в представлении определённого смысла с учётом, во-первых, основного значения, во-вторых, </w:t>
      </w:r>
      <w:r w:rsidR="006E4A2E">
        <w:rPr>
          <w:rFonts w:ascii="Times New Roman" w:hAnsi="Times New Roman" w:cs="Times New Roman"/>
          <w:sz w:val="28"/>
          <w:szCs w:val="28"/>
        </w:rPr>
        <w:t xml:space="preserve">его коннотации с учётом семантики и применяемых логических операторов. При помощи букв обеспечивается возможность высказываний типа </w:t>
      </w:r>
      <w:r w:rsidR="006E4A2E" w:rsidRPr="006E4A2E">
        <w:rPr>
          <w:rFonts w:ascii="Times New Roman" w:hAnsi="Times New Roman" w:cs="Times New Roman"/>
          <w:i/>
          <w:sz w:val="28"/>
          <w:szCs w:val="28"/>
        </w:rPr>
        <w:t>(</w:t>
      </w:r>
      <w:r w:rsidR="006E4A2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6E4A2E" w:rsidRPr="006E4A2E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="006E4A2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6E4A2E" w:rsidRPr="006E4A2E">
        <w:rPr>
          <w:rFonts w:ascii="Times New Roman" w:hAnsi="Times New Roman" w:cs="Times New Roman"/>
          <w:i/>
          <w:sz w:val="28"/>
          <w:szCs w:val="28"/>
        </w:rPr>
        <w:t>)*</w:t>
      </w:r>
      <w:r w:rsidR="006E4A2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6E4A2E" w:rsidRPr="006E4A2E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6E4A2E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="006E4A2E" w:rsidRPr="006E4A2E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="006E4A2E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proofErr w:type="spellEnd"/>
      <w:r w:rsidR="006E4A2E" w:rsidRPr="006E4A2E">
        <w:rPr>
          <w:rFonts w:ascii="Times New Roman" w:hAnsi="Times New Roman" w:cs="Times New Roman"/>
          <w:sz w:val="28"/>
          <w:szCs w:val="28"/>
        </w:rPr>
        <w:t>.</w:t>
      </w:r>
    </w:p>
    <w:p w:rsidR="006E4A2E" w:rsidRDefault="006E4A2E" w:rsidP="006E4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Содержание такого высказывания означается в теории Фреге горизонтальным штрихом – штрихом содержания. Содержание само по себе не наделяется ни значением истинности, ни значением ложности. Так, содержание вида «светит солнце» представляет основания для бинарных суждений. Добавлением к горизонтальному штриху продолговатой вертикальной черты Фреге наделяет простую связь представлений смысловым содержанием в формально-логическом смысле. Формулируется суждение вида «данное положение </w:t>
      </w:r>
      <w:r w:rsidRPr="006E4A2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der</w:t>
      </w:r>
      <w:proofErr w:type="spellEnd"/>
      <w:r w:rsidRPr="006E4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Satz</w:t>
      </w:r>
      <w:proofErr w:type="spellEnd"/>
      <w:r w:rsidRPr="006E4A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таково что». К примеру, «верно, что светит солнце». </w:t>
      </w:r>
    </w:p>
    <w:p w:rsidR="006E4A2E" w:rsidRDefault="006E4A2E" w:rsidP="006E4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при этом оговориться, что преобразование не каждого суждения будет возможным. </w:t>
      </w:r>
      <w:r w:rsidR="007014F1">
        <w:rPr>
          <w:rFonts w:ascii="Times New Roman" w:hAnsi="Times New Roman" w:cs="Times New Roman"/>
          <w:sz w:val="28"/>
          <w:szCs w:val="28"/>
        </w:rPr>
        <w:t>Простое именное представление «солнце» не представить суждением – содержание не преобразуется. Таким образом, по Фреге, вводится несколько видов содержаний, отличных преобразовательным потенциалом, а, следовательно, и возможностями к толкованию:</w:t>
      </w:r>
    </w:p>
    <w:p w:rsidR="007014F1" w:rsidRDefault="007014F1" w:rsidP="007014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Содержание, преобразуемое в суждение.</w:t>
      </w:r>
    </w:p>
    <w:p w:rsidR="007014F1" w:rsidRDefault="007014F1" w:rsidP="007014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не допускающее преобразования в суждение.</w:t>
      </w:r>
    </w:p>
    <w:p w:rsidR="007014F1" w:rsidRDefault="007014F1" w:rsidP="007014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4F1" w:rsidRDefault="007014F1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4F1">
        <w:rPr>
          <w:rFonts w:ascii="Times New Roman" w:hAnsi="Times New Roman" w:cs="Times New Roman"/>
          <w:sz w:val="28"/>
          <w:szCs w:val="28"/>
        </w:rPr>
        <w:t>С позиции Фреге, горизонтальная черта (</w:t>
      </w:r>
      <w:r w:rsidRPr="007014F1">
        <w:rPr>
          <w:rFonts w:ascii="Times New Roman" w:hAnsi="Times New Roman" w:cs="Times New Roman"/>
          <w:i/>
          <w:sz w:val="28"/>
          <w:szCs w:val="28"/>
        </w:rPr>
        <w:t>черта содержания</w:t>
      </w:r>
      <w:r w:rsidRPr="007014F1">
        <w:rPr>
          <w:rFonts w:ascii="Times New Roman" w:hAnsi="Times New Roman" w:cs="Times New Roman"/>
          <w:sz w:val="28"/>
          <w:szCs w:val="28"/>
        </w:rPr>
        <w:t>) связывает</w:t>
      </w:r>
      <w:r>
        <w:rPr>
          <w:rFonts w:ascii="Times New Roman" w:hAnsi="Times New Roman" w:cs="Times New Roman"/>
          <w:sz w:val="28"/>
          <w:szCs w:val="28"/>
        </w:rPr>
        <w:t xml:space="preserve"> каждый последующий знак в единое целое, вводя единую систему условий. К содержательному целому же относится черта вертикальная, выражающая утверждение и помещаемая на левом конце горизонтальной черты. Отсюда в системе счисления понятий Фреге необходимо рассматривать два основных оператора: </w:t>
      </w:r>
      <w:r>
        <w:rPr>
          <w:rFonts w:ascii="Times New Roman" w:hAnsi="Times New Roman" w:cs="Times New Roman"/>
          <w:i/>
          <w:sz w:val="28"/>
          <w:szCs w:val="28"/>
        </w:rPr>
        <w:t>штрих суждения и штрих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4F1" w:rsidRDefault="007014F1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что понятийное содержание постоянно, принимается за константу. Следовательно, при любом варианте толкования такого суждения место различению субъекта и предиката отсутствует. Субъектно-предикатная связь, свойственная классической логике, здесь устраняется. Следствия, которые можно извлечь из одного, поставив его в связь с другим содержанием, всегда вытекают из второго содержания – постольку, поскольку связи последовательны. </w:t>
      </w:r>
    </w:p>
    <w:p w:rsidR="00593D32" w:rsidRDefault="00593D32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 сочетание штриха содержания и штриха содержания представляет собой суждение вида «должно, что…», «верно, что…» - следовательно, само по себе выступает общим предикатом к любому суждению. Место субъекта или объекта в последовательности определяет применимость условий к нему. С учётом того, что штрих суждения представляет собой семантическую формулировку без наделения её значением истинности можно представить его в качестве своеобразной юридической нормы, лишённой до поры до времени юридической силы. Только присоединение вертикального штриха суждения позволяет судить о простой связи представлений с точки зрения истинности.</w:t>
      </w:r>
    </w:p>
    <w:p w:rsidR="00593D32" w:rsidRDefault="00593D32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субъектно-предикатной связи в особенности прослеживается на примере операции отрицания. В частности, представим содержание вида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593D32">
        <w:rPr>
          <w:rFonts w:ascii="Times New Roman" w:hAnsi="Times New Roman" w:cs="Times New Roman"/>
          <w:i/>
          <w:sz w:val="28"/>
          <w:szCs w:val="28"/>
        </w:rPr>
        <w:t xml:space="preserve"> ≠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593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Содержание содержит в себе отрицание – взаимную связь элементов, но не элементы содержания, но </w:t>
      </w:r>
      <w:r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таковое подлежит суждению, преобразованию оператором логики – вертикальным штрихом. Соответственно, отрицание не есть оператор, но есть внутренний признак самого содержания. Тогда для содержания, подлежащего суждению и преобразуемого устраняется оператор отрицания, присущий классической логике. Запись понятий становится намного проще. </w:t>
      </w:r>
    </w:p>
    <w:p w:rsidR="00593D32" w:rsidRDefault="00593D32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 суждения, таким образом, - связь знака со знаковым целым при условии, что содержание всегда обращается в суждение. Суждения же, согласно теории Фреге, допускается подразделять на аподиктические и ассерторические. Для первого вида суждений предполагается наличие общего суждения, из которого может выводиться уже предложение. В ассерторическом суждении общее суждение как предположение в принципе не берётся в расчёт.</w:t>
      </w:r>
      <w:r w:rsidR="007F4A83">
        <w:rPr>
          <w:rFonts w:ascii="Times New Roman" w:hAnsi="Times New Roman" w:cs="Times New Roman"/>
          <w:sz w:val="28"/>
          <w:szCs w:val="28"/>
        </w:rPr>
        <w:t xml:space="preserve"> Думается, предположение о наличии общего суждения можно сопоставлять с теорией «пропозиционального факта» у Л. </w:t>
      </w:r>
      <w:proofErr w:type="spellStart"/>
      <w:r w:rsidR="007F4A83">
        <w:rPr>
          <w:rFonts w:ascii="Times New Roman" w:hAnsi="Times New Roman" w:cs="Times New Roman"/>
          <w:sz w:val="28"/>
          <w:szCs w:val="28"/>
        </w:rPr>
        <w:t>Витгенштейна</w:t>
      </w:r>
      <w:proofErr w:type="spellEnd"/>
      <w:r w:rsidR="007F4A83">
        <w:rPr>
          <w:rFonts w:ascii="Times New Roman" w:hAnsi="Times New Roman" w:cs="Times New Roman"/>
          <w:sz w:val="28"/>
          <w:szCs w:val="28"/>
        </w:rPr>
        <w:t>, если пропозициональный факт вписывать в систему Фреге в виде ассерторического суждения.</w:t>
      </w:r>
    </w:p>
    <w:p w:rsidR="007F4A83" w:rsidRDefault="007F4A83" w:rsidP="007014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посылки Фреге о знаках, при наличии инструментальных операторов в виде горизонтальных и вертикальных штрихов можно предположить, что для содержание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4A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преобразуемых в суждения возможны варианты:</w:t>
      </w:r>
    </w:p>
    <w:p w:rsidR="007F4A83" w:rsidRDefault="007F4A83" w:rsidP="007F4A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утверждается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i/>
          <w:sz w:val="28"/>
          <w:szCs w:val="28"/>
        </w:rPr>
        <w:t xml:space="preserve"> (№1)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83" w:rsidRPr="007F4A83" w:rsidRDefault="007F4A83" w:rsidP="007F4A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отрицается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i/>
          <w:sz w:val="28"/>
          <w:szCs w:val="28"/>
        </w:rPr>
        <w:t xml:space="preserve"> (№2)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83" w:rsidRPr="007F4A83" w:rsidRDefault="007F4A83" w:rsidP="007F4A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Отрицается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утверждается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i/>
          <w:sz w:val="28"/>
          <w:szCs w:val="28"/>
        </w:rPr>
        <w:t xml:space="preserve"> (№3)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83" w:rsidRPr="007F4A83" w:rsidRDefault="007F4A83" w:rsidP="007F4A8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Отрицается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отрицается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</w:t>
      </w:r>
      <w:r>
        <w:rPr>
          <w:rFonts w:ascii="Times New Roman" w:hAnsi="Times New Roman" w:cs="Times New Roman"/>
          <w:i/>
          <w:sz w:val="28"/>
          <w:szCs w:val="28"/>
        </w:rPr>
        <w:t xml:space="preserve"> (№4)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A83" w:rsidRDefault="007F4A83" w:rsidP="007F4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A83" w:rsidRDefault="007F4A83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при объединении содержаний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4A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F4A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вертикальным штрихом и констатации их верности третья возможность не является больше возможной. Допустим, должно утверждаться содержание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тогда содержание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совершенно безразлично. К примеру, ситуации №1 и №2 представляет собой своего рода презумпции – могут быть применимы, в частности, при установлении вины при отправлении гражданского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судопроизводства. Если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подлежит отрицанию, то суждение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безразлично. Аналогичная ситуация, в частности, имеет место при приостановлении производства по делу.</w:t>
      </w:r>
    </w:p>
    <w:p w:rsidR="003F204A" w:rsidRDefault="003F204A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ситуации же №3 ни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204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взаимно друг друга не обуславливают. В классической логике возникла бы неопределённость. В теории же счисления понятий Фреге срабатывает вертикальный штрих – штрих суждения, выступающий общей посылкой для условного штриха, связующего на описательной модели содержания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20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Условный штрих отображается в виде второй вертикальной черты слева от штриха суждения. </w:t>
      </w:r>
    </w:p>
    <w:p w:rsidR="007F4A83" w:rsidRDefault="003F204A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качестве иллюстрации того, как применение условного штриха возможно в юриспруденции, обратимся к институту заочного производства в гражданском процессе. Так, рассмотрение дела –</w:t>
      </w:r>
      <w:r w:rsidRPr="003F2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F204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ставится в зависимость от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F20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явки в процесс 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204A">
        <w:rPr>
          <w:rFonts w:ascii="Times New Roman" w:hAnsi="Times New Roman" w:cs="Times New Roman"/>
          <w:sz w:val="28"/>
          <w:szCs w:val="28"/>
        </w:rPr>
        <w:t xml:space="preserve"> - </w:t>
      </w:r>
      <w:r w:rsidR="007F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 причине.</w:t>
      </w:r>
    </w:p>
    <w:p w:rsidR="003F204A" w:rsidRDefault="003F204A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приходим к выводу: из двух суждение выводится новое утверждаемое суждение, определяемое за счёт исключения всех остальных – с применением закон исключения третьего. С привлечением нескольких суждений система штрихов их приводится в действие, взаимодействует друг с другом – на основании чего формулируется умозаключение. Умозаключение не выражает психологического закона, но решает вопрос в духе целесообразности.</w:t>
      </w:r>
    </w:p>
    <w:p w:rsidR="003F204A" w:rsidRPr="003F204A" w:rsidRDefault="003F204A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следующий вводимый Фреге инструмент – штрих отрицания. Содержание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не имеет места, если перпендикулярно горизонтальному штриху содержания перпендикулярно опущен штрих отрицания. Отрезок, заключаемый между штрихом отрицания и вертикальной чертой штриха суждения называется штрихом отрицания суждения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Исходящий от штриха суждения вправо луч именуется штрихом содержания суждения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F204A">
        <w:rPr>
          <w:rFonts w:ascii="Times New Roman" w:hAnsi="Times New Roman" w:cs="Times New Roman"/>
          <w:sz w:val="28"/>
          <w:szCs w:val="28"/>
        </w:rPr>
        <w:t>.</w:t>
      </w:r>
    </w:p>
    <w:p w:rsidR="00FE5F32" w:rsidRDefault="00FE5F32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если знак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знак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E5F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одно и то же отвлечённое содержание, то всюду вместо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следует поместить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введя своеобразное подобие математической индукции.</w:t>
      </w:r>
    </w:p>
    <w:p w:rsidR="00FE5F32" w:rsidRDefault="00FE5F32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Природа постановки лингвистических акцентов есть смещение функции и аргумента относительно друг друга. Соответственно, формулируется теорема Фреге. </w:t>
      </w:r>
      <w:r>
        <w:rPr>
          <w:rFonts w:ascii="Times New Roman" w:hAnsi="Times New Roman" w:cs="Times New Roman"/>
          <w:i/>
          <w:sz w:val="28"/>
          <w:szCs w:val="28"/>
        </w:rPr>
        <w:t>Если в некотором выражении, о содержании которого незачем выносить суждения, простой или сложный знак встречается на одном или многих местах, и мы мыслим его – на всех местах или на некоторых, допускающих замену везде, но только одним и тем же, то неизменная при этом часть называется функция, а заменяемая часть – аргумент.</w:t>
      </w:r>
    </w:p>
    <w:p w:rsidR="00FE5F32" w:rsidRPr="00FE5F32" w:rsidRDefault="00FE5F32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всегда определённая в суждении часть называется функцией. Так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это неопределённая функция аргумента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E5F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функция детально не определённых аргументов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), размещённая справа от штриха содержания будет читаться как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свойство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». Подобное происходит в силу последовательности, придаваемой суждению вертикальным условным штрихом. </w:t>
      </w:r>
      <w:r w:rsidRPr="00FE5F32">
        <w:rPr>
          <w:rFonts w:ascii="Times New Roman" w:hAnsi="Times New Roman" w:cs="Times New Roman"/>
          <w:i/>
          <w:sz w:val="28"/>
          <w:szCs w:val="28"/>
        </w:rPr>
        <w:t>Так выводится материальная норма</w:t>
      </w:r>
      <w:r>
        <w:rPr>
          <w:rFonts w:ascii="Times New Roman" w:hAnsi="Times New Roman" w:cs="Times New Roman"/>
          <w:sz w:val="28"/>
          <w:szCs w:val="28"/>
        </w:rPr>
        <w:t xml:space="preserve">. Функция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E5F3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применительно к утверждаемому штриху содержания будет читаться как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находится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-отношении к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следовательно,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результат применения процедуры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предмету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E5F32">
        <w:rPr>
          <w:rFonts w:ascii="Times New Roman" w:hAnsi="Times New Roman" w:cs="Times New Roman"/>
          <w:i/>
          <w:sz w:val="28"/>
          <w:szCs w:val="28"/>
        </w:rPr>
        <w:t>Представляется, что подобная модель демонстрирует построение процессуальной правовой нормы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04A" w:rsidRDefault="00FE5F32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поскольку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встречается лишь единожды, то возможно осуществить допустимую замену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иные функции относительно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то есть применить к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процедуры.</w:t>
      </w:r>
    </w:p>
    <w:p w:rsidR="002B20B3" w:rsidRDefault="002B20B3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постоянства и несменяемости означенной функции, Фреге вводит инструмент «всеобщности», позволяющий распространять содержание на нижерасположенные по отношению к нему в условной иерархии.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на место аргумента поместить готическую букву и образовать лунку в штрихе содержания, то выявляется суждение, для которого функция есть факт – вне зависимости от того, что принято в качестве аргумента. </w:t>
      </w:r>
    </w:p>
    <w:p w:rsidR="00FE5F32" w:rsidRDefault="002B20B3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B3">
        <w:rPr>
          <w:rFonts w:ascii="Times New Roman" w:hAnsi="Times New Roman" w:cs="Times New Roman"/>
          <w:sz w:val="28"/>
          <w:szCs w:val="28"/>
        </w:rPr>
        <w:lastRenderedPageBreak/>
        <w:t>Следствием этого является, что возможно меньшее число суждений посредством ограничения универсума.</w:t>
      </w:r>
      <w:r>
        <w:rPr>
          <w:rFonts w:ascii="Times New Roman" w:hAnsi="Times New Roman" w:cs="Times New Roman"/>
          <w:sz w:val="28"/>
          <w:szCs w:val="28"/>
        </w:rPr>
        <w:t xml:space="preserve"> Но на место готической буквы нельзя поместить, что угодно – не проверяя справедливость универсальности данного значения для каждой отдельной функции. На наш взгляд, именно замена готической буквы (инструмента всеобщности) без предварительной проверки его является предпосылкой к искажению в толковании нормы. А, значит, применение модели Фреге к юриспруденции потенциально возможно – хотя бы в целях пресечения искажений при толковании норм.</w:t>
      </w:r>
    </w:p>
    <w:p w:rsidR="002B20B3" w:rsidRPr="002B20B3" w:rsidRDefault="002B20B3" w:rsidP="007F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ситуация омрачается описательным характером теории Фреге, не учитывающей, как и формальная логика, ценностно-вероятностного характера оценки обстоятельств по делу на момент начала его разбирательства.</w:t>
      </w:r>
    </w:p>
    <w:sectPr w:rsidR="002B20B3" w:rsidRPr="002B20B3" w:rsidSect="00952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EF" w:rsidRDefault="000772EF" w:rsidP="000772EF">
      <w:pPr>
        <w:spacing w:after="0" w:line="240" w:lineRule="auto"/>
      </w:pPr>
      <w:r>
        <w:separator/>
      </w:r>
    </w:p>
  </w:endnote>
  <w:endnote w:type="continuationSeparator" w:id="0">
    <w:p w:rsidR="000772EF" w:rsidRDefault="000772EF" w:rsidP="0007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6085"/>
      <w:docPartObj>
        <w:docPartGallery w:val="Page Numbers (Bottom of Page)"/>
        <w:docPartUnique/>
      </w:docPartObj>
    </w:sdtPr>
    <w:sdtContent>
      <w:p w:rsidR="000772EF" w:rsidRDefault="000772EF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772EF" w:rsidRDefault="000772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EF" w:rsidRDefault="000772EF" w:rsidP="000772EF">
      <w:pPr>
        <w:spacing w:after="0" w:line="240" w:lineRule="auto"/>
      </w:pPr>
      <w:r>
        <w:separator/>
      </w:r>
    </w:p>
  </w:footnote>
  <w:footnote w:type="continuationSeparator" w:id="0">
    <w:p w:rsidR="000772EF" w:rsidRDefault="000772EF" w:rsidP="0007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DD9"/>
    <w:multiLevelType w:val="hybridMultilevel"/>
    <w:tmpl w:val="E5ACB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08D9"/>
    <w:multiLevelType w:val="hybridMultilevel"/>
    <w:tmpl w:val="F2A66EEE"/>
    <w:lvl w:ilvl="0" w:tplc="3BF21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33F"/>
    <w:rsid w:val="000772EF"/>
    <w:rsid w:val="002B20B3"/>
    <w:rsid w:val="003411B8"/>
    <w:rsid w:val="003F204A"/>
    <w:rsid w:val="00593D32"/>
    <w:rsid w:val="006E4A2E"/>
    <w:rsid w:val="007014F1"/>
    <w:rsid w:val="007F4A83"/>
    <w:rsid w:val="00952CE7"/>
    <w:rsid w:val="00D6433F"/>
    <w:rsid w:val="00FE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F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72EF"/>
  </w:style>
  <w:style w:type="paragraph" w:styleId="a6">
    <w:name w:val="footer"/>
    <w:basedOn w:val="a"/>
    <w:link w:val="a7"/>
    <w:uiPriority w:val="99"/>
    <w:unhideWhenUsed/>
    <w:rsid w:val="0007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4121-BA96-4E89-B3EA-CD3DF8BD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Tyulyaev</dc:creator>
  <cp:keywords/>
  <dc:description/>
  <cp:lastModifiedBy>Tyulyaev</cp:lastModifiedBy>
  <cp:revision>3</cp:revision>
  <dcterms:created xsi:type="dcterms:W3CDTF">2013-12-07T20:59:00Z</dcterms:created>
  <dcterms:modified xsi:type="dcterms:W3CDTF">2013-12-07T22:30:00Z</dcterms:modified>
</cp:coreProperties>
</file>