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29" w:rsidRPr="00306529" w:rsidRDefault="00306529" w:rsidP="0030652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Входящая мобильность международных специалистов</w:t>
      </w:r>
    </w:p>
    <w:p w:rsidR="00306529" w:rsidRP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подачи заявок на организацию краткосрочных визитов иностранных специалистов</w:t>
      </w:r>
    </w:p>
    <w:p w:rsidR="005F5D24" w:rsidRPr="005F3E32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 1</w:t>
      </w:r>
      <w:r w:rsidR="005F5D24" w:rsidRPr="005F5D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 февраля </w:t>
      </w:r>
      <w:r w:rsidRPr="005F5D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2017 г.</w:t>
      </w:r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Научной комиссией факультета права принимаются заявки на организацию краткосрочных визитов иностранных специалистов на 2017 г.</w:t>
      </w:r>
      <w:r w:rsidR="005F5D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возможность получения </w:t>
      </w:r>
      <w:proofErr w:type="spellStart"/>
      <w:r w:rsidR="005F5D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5F5D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общеуниверситетской комиссии.</w:t>
      </w:r>
      <w:r w:rsidR="005F3E32" w:rsidRPr="005F3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5D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актуально для заявок, бюджет которых превышает 150 000 рублей при условии </w:t>
      </w:r>
      <w:proofErr w:type="spellStart"/>
      <w:r w:rsidR="005F5D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5F5D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других источников (средства ФАР научной комиссии, средства факультета, собственные средства специалиста, гранты) в размере не менее 30%.</w:t>
      </w:r>
      <w:r w:rsidR="005F3E32" w:rsidRPr="005F3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5F3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Заявки на </w:t>
      </w:r>
      <w:proofErr w:type="spellStart"/>
      <w:r w:rsidR="005F3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5F3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актуальны по датам приглашения с  середины мая и далее</w:t>
      </w:r>
      <w:bookmarkEnd w:id="0"/>
      <w:r w:rsidR="005F3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Заявки принимаются в электронном виде  </w:t>
      </w:r>
      <w:r w:rsidRPr="005F5D2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Жуковой Татьяной (</w:t>
      </w:r>
      <w:hyperlink r:id="rId6" w:history="1">
        <w:r w:rsidR="005F5D24" w:rsidRPr="000E14F9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tzhukova@hse.ru</w:t>
        </w:r>
      </w:hyperlink>
      <w:r w:rsidRPr="005F5D2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)</w:t>
      </w:r>
    </w:p>
    <w:p w:rsidR="005F5D24" w:rsidRPr="005F5D24" w:rsidRDefault="005F5D24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F5D24" w:rsidRPr="005F5D24" w:rsidRDefault="005F5D24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F5D24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Заявки для рассмотрени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я</w:t>
      </w:r>
      <w:r w:rsidRPr="005F5D2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только научной комиссией факультета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права </w:t>
      </w:r>
      <w:r w:rsidRPr="005F5D2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можно подавать в течение </w:t>
      </w:r>
      <w:r w:rsidRPr="005F5D2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всего 2017 года.</w:t>
      </w:r>
    </w:p>
    <w:p w:rsidR="00306529" w:rsidRP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2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br/>
      </w:r>
      <w:r w:rsidRPr="0030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важно:</w:t>
      </w:r>
    </w:p>
    <w:p w:rsidR="00306529" w:rsidRP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смету можно заложить только проезд, проживание и гонорар. Оплата визы, приглашения и т.д. – невозможно. В случае гонорара специалистов нужно будет получать рабочую визу.</w:t>
      </w:r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Кроме того, учитываем подоходный налог в размере 30% + страховые выплаты в размере  27,1%. (Подробно см. </w:t>
      </w:r>
      <w:hyperlink r:id="rId7" w:history="1">
        <w:r w:rsidRPr="0030652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здесь</w:t>
        </w:r>
      </w:hyperlink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 </w:t>
      </w:r>
    </w:p>
    <w:p w:rsidR="00306529" w:rsidRP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Заявки на сумму свыше 150 000 рублей, </w:t>
      </w:r>
      <w:r w:rsidRPr="003065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 условии </w:t>
      </w:r>
      <w:proofErr w:type="spellStart"/>
      <w:r w:rsidRPr="003065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3065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не менее 30%</w:t>
      </w:r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общей суммы заявки (</w:t>
      </w:r>
      <w:proofErr w:type="spellStart"/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факультета, подразделения, гранта или любых других источников), могут также рассматриваться </w:t>
      </w:r>
      <w:hyperlink r:id="rId8" w:history="1">
        <w:r w:rsidRPr="0030652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общеуниверситетской комиссией</w:t>
        </w:r>
      </w:hyperlink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06529" w:rsidRP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Непосредственная организация визитов иностранных специалистов (договорно-правовая работа по подготовке, согласованию и заключению договора с туроператором, запуск приказа и пр.), возложена </w:t>
      </w:r>
      <w:r w:rsidRPr="003065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принимающие подразделения/специалиста/ департаменты</w:t>
      </w:r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составе факультета права. Ежемесячно дирекция по интернационализации проводит встречи для координаторов по организационным вопросам.</w:t>
      </w:r>
    </w:p>
    <w:p w:rsidR="00306529" w:rsidRP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техническим вопросам относительно заявок на факультете права можно писать Жуковой Татьяне (tzhukova@hse.ru) или на университетском уровне </w:t>
      </w:r>
      <w:r w:rsidRPr="00306529">
        <w:rPr>
          <w:rFonts w:ascii="Arial" w:hAnsi="Arial" w:cs="Arial"/>
          <w:color w:val="000000"/>
          <w:sz w:val="24"/>
          <w:szCs w:val="24"/>
        </w:rPr>
        <w:t xml:space="preserve">на почту </w:t>
      </w:r>
      <w:hyperlink r:id="rId9" w:history="1">
        <w:r w:rsidRPr="00306529">
          <w:rPr>
            <w:rStyle w:val="a3"/>
            <w:rFonts w:ascii="Arial" w:hAnsi="Arial" w:cs="Arial"/>
            <w:sz w:val="24"/>
            <w:szCs w:val="24"/>
          </w:rPr>
          <w:t>visitingscholar@hse.ru</w:t>
        </w:r>
      </w:hyperlink>
      <w:r w:rsidRPr="00306529">
        <w:rPr>
          <w:rFonts w:ascii="Arial" w:hAnsi="Arial" w:cs="Arial"/>
          <w:color w:val="000000"/>
          <w:sz w:val="24"/>
          <w:szCs w:val="24"/>
        </w:rPr>
        <w:t> к Екатерине Сухановой  или Ирине Королевой</w:t>
      </w:r>
    </w:p>
    <w:p w:rsidR="00306529" w:rsidRP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Как подать заявку?</w:t>
      </w:r>
    </w:p>
    <w:p w:rsidR="00306529" w:rsidRP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Заполнить заявку и подписать ее у руководителя подразделения.</w:t>
      </w:r>
    </w:p>
    <w:p w:rsidR="00306529" w:rsidRP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Получить согласие приглашаемого специалиста  c условиями приезда в НИУ ВШЭ (достаточно скана)  и CV приглашаемого специалиста.</w:t>
      </w:r>
    </w:p>
    <w:p w:rsidR="00306529" w:rsidRP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Направить заявку.</w:t>
      </w:r>
    </w:p>
    <w:p w:rsidR="00306529" w:rsidRP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Документы для заявки:</w:t>
      </w:r>
    </w:p>
    <w:p w:rsidR="00306529" w:rsidRP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hyperlink r:id="rId10" w:tgtFrame="_blank" w:history="1">
        <w:r w:rsidRPr="0030652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Форма заявки</w:t>
        </w:r>
      </w:hyperlink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(DOC, 76 Кб)</w:t>
      </w:r>
    </w:p>
    <w:p w:rsidR="00306529" w:rsidRP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hyperlink r:id="rId11" w:tgtFrame="_blank" w:history="1">
        <w:r w:rsidRPr="0030652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Форма согласия для специалистов, у которых нет гражданства РФ</w:t>
        </w:r>
      </w:hyperlink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(DOCX)</w:t>
      </w:r>
    </w:p>
    <w:p w:rsidR="00306529" w:rsidRP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hyperlink r:id="rId12" w:tgtFrame="_blank" w:history="1">
        <w:r w:rsidRPr="0030652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Форма согласия для специалистов, у которых есть гражданство РФ</w:t>
        </w:r>
      </w:hyperlink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(DOCX)</w:t>
      </w:r>
    </w:p>
    <w:p w:rsidR="00306529" w:rsidRP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заявке:</w:t>
      </w:r>
    </w:p>
    <w:p w:rsidR="00306529" w:rsidRPr="00306529" w:rsidRDefault="00306529" w:rsidP="003065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заявке необходимо заполнить все поля. Особое внимание стоит уделить целям и  предполагаемым результатам визита, описанию формата сотрудничества с НИУ ВШЭ в рамках визита, указанию информации об авторитете специалиста в международном академическом сообществе. Также необходимо составить смету визита и указать источники </w:t>
      </w:r>
      <w:proofErr w:type="spellStart"/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30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наличии). </w:t>
      </w:r>
    </w:p>
    <w:p w:rsidR="00306529" w:rsidRPr="00306529" w:rsidRDefault="00306529" w:rsidP="00306529">
      <w:pPr>
        <w:pStyle w:val="3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06529">
        <w:rPr>
          <w:rFonts w:ascii="Arial" w:hAnsi="Arial" w:cs="Arial"/>
          <w:color w:val="000000"/>
          <w:sz w:val="24"/>
          <w:szCs w:val="24"/>
        </w:rPr>
        <w:lastRenderedPageBreak/>
        <w:t>При составлении сметы в заявке необходимо учесть следующие вопросы:</w:t>
      </w:r>
    </w:p>
    <w:p w:rsidR="00306529" w:rsidRPr="00306529" w:rsidRDefault="00306529" w:rsidP="00306529">
      <w:pPr>
        <w:pStyle w:val="4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06529">
        <w:rPr>
          <w:rFonts w:ascii="Arial" w:hAnsi="Arial" w:cs="Arial"/>
          <w:color w:val="000000"/>
          <w:sz w:val="24"/>
          <w:szCs w:val="24"/>
        </w:rPr>
        <w:t>Проезд</w:t>
      </w:r>
    </w:p>
    <w:p w:rsidR="00306529" w:rsidRPr="00306529" w:rsidRDefault="00306529" w:rsidP="003065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272"/>
        <w:rPr>
          <w:rFonts w:ascii="Arial" w:hAnsi="Arial" w:cs="Arial"/>
          <w:color w:val="000000"/>
          <w:sz w:val="24"/>
          <w:szCs w:val="24"/>
        </w:rPr>
      </w:pPr>
      <w:r w:rsidRPr="00306529">
        <w:rPr>
          <w:rFonts w:ascii="Arial" w:hAnsi="Arial" w:cs="Arial"/>
          <w:color w:val="000000"/>
          <w:sz w:val="24"/>
          <w:szCs w:val="24"/>
        </w:rPr>
        <w:t>Маршрут запрашиваемого перелета или проезда должен включать в себя Москву, Санкт-Петербург, Нижний Новгород или Пермь – в зависимости от кампуса, в который приезжает приглашенный. Заказать билет, в котором нет нужного кампуса в качестве пункта назначения или отправки, невозможно</w:t>
      </w:r>
    </w:p>
    <w:p w:rsidR="00306529" w:rsidRPr="00306529" w:rsidRDefault="00306529" w:rsidP="003065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272"/>
        <w:rPr>
          <w:rFonts w:ascii="Arial" w:hAnsi="Arial" w:cs="Arial"/>
          <w:color w:val="000000"/>
          <w:sz w:val="24"/>
          <w:szCs w:val="24"/>
        </w:rPr>
      </w:pPr>
      <w:r w:rsidRPr="00306529">
        <w:rPr>
          <w:rFonts w:ascii="Arial" w:hAnsi="Arial" w:cs="Arial"/>
          <w:color w:val="000000"/>
          <w:sz w:val="24"/>
          <w:szCs w:val="24"/>
        </w:rPr>
        <w:t xml:space="preserve">В случае превышения бюджета по конкретному рейсу (время, авиакомпания) возможно приобретение только варианта билета, который укладывается в одобренный бюджет. Подразделение может предусмотреть также </w:t>
      </w:r>
      <w:proofErr w:type="spellStart"/>
      <w:r w:rsidRPr="00306529">
        <w:rPr>
          <w:rFonts w:ascii="Arial" w:hAnsi="Arial" w:cs="Arial"/>
          <w:color w:val="000000"/>
          <w:sz w:val="24"/>
          <w:szCs w:val="24"/>
        </w:rPr>
        <w:t>софинансирование</w:t>
      </w:r>
      <w:proofErr w:type="spellEnd"/>
      <w:r w:rsidRPr="00306529">
        <w:rPr>
          <w:rFonts w:ascii="Arial" w:hAnsi="Arial" w:cs="Arial"/>
          <w:color w:val="000000"/>
          <w:sz w:val="24"/>
          <w:szCs w:val="24"/>
        </w:rPr>
        <w:t xml:space="preserve"> проезда из собственных средств. </w:t>
      </w:r>
    </w:p>
    <w:p w:rsidR="00306529" w:rsidRPr="00306529" w:rsidRDefault="00306529" w:rsidP="003065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272"/>
        <w:rPr>
          <w:rFonts w:ascii="Arial" w:hAnsi="Arial" w:cs="Arial"/>
          <w:color w:val="000000"/>
          <w:sz w:val="24"/>
          <w:szCs w:val="24"/>
        </w:rPr>
      </w:pPr>
      <w:r w:rsidRPr="00306529">
        <w:rPr>
          <w:rFonts w:ascii="Arial" w:hAnsi="Arial" w:cs="Arial"/>
          <w:color w:val="000000"/>
          <w:sz w:val="24"/>
          <w:szCs w:val="24"/>
        </w:rPr>
        <w:t xml:space="preserve">НИУ ВШЭ не имеет возможности бронировать билеты напрямую, это делает подрядчик – соответственно, возможные варианты рейсов по указанному маршруту зависят от вариантов, предложенных подрядчиком.  Пожалуйста, в случае одобрения заявки комиссии присылайте информацию о проезде координатору не </w:t>
      </w:r>
      <w:proofErr w:type="gramStart"/>
      <w:r w:rsidRPr="00306529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306529">
        <w:rPr>
          <w:rFonts w:ascii="Arial" w:hAnsi="Arial" w:cs="Arial"/>
          <w:color w:val="000000"/>
          <w:sz w:val="24"/>
          <w:szCs w:val="24"/>
        </w:rPr>
        <w:t xml:space="preserve"> чем за 6 недель до начала визита: даты вылета туда-обратно, конечные пункты маршрута, скан паспорта.</w:t>
      </w:r>
    </w:p>
    <w:p w:rsidR="00306529" w:rsidRPr="00306529" w:rsidRDefault="00306529" w:rsidP="00306529">
      <w:pPr>
        <w:pStyle w:val="4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06529">
        <w:rPr>
          <w:rFonts w:ascii="Arial" w:hAnsi="Arial" w:cs="Arial"/>
          <w:color w:val="000000"/>
          <w:sz w:val="24"/>
          <w:szCs w:val="24"/>
        </w:rPr>
        <w:t>Гонорар</w:t>
      </w:r>
    </w:p>
    <w:p w:rsidR="00306529" w:rsidRPr="005F5D24" w:rsidRDefault="00306529" w:rsidP="005F5D24">
      <w:pPr>
        <w:pStyle w:val="text"/>
        <w:shd w:val="clear" w:color="auto" w:fill="FFFFFF"/>
        <w:rPr>
          <w:rFonts w:ascii="Arial" w:hAnsi="Arial" w:cs="Arial"/>
          <w:b/>
          <w:color w:val="000000"/>
        </w:rPr>
      </w:pPr>
      <w:r w:rsidRPr="00306529">
        <w:rPr>
          <w:rFonts w:ascii="Arial" w:hAnsi="Arial" w:cs="Arial"/>
          <w:color w:val="000000"/>
        </w:rPr>
        <w:t>Гонорар выплачивается на основании заключения договора ГПХ, с суммы гонорара удерживается подоходный налог в размере 30% (</w:t>
      </w:r>
      <w:hyperlink r:id="rId13" w:anchor="tax" w:history="1">
        <w:r w:rsidRPr="00306529">
          <w:rPr>
            <w:rStyle w:val="a3"/>
            <w:rFonts w:ascii="Arial" w:hAnsi="Arial" w:cs="Arial"/>
          </w:rPr>
          <w:t>для налоговых нерезидентов</w:t>
        </w:r>
      </w:hyperlink>
      <w:r w:rsidRPr="00306529">
        <w:rPr>
          <w:rFonts w:ascii="Arial" w:hAnsi="Arial" w:cs="Arial"/>
          <w:color w:val="000000"/>
        </w:rPr>
        <w:t>). Помимо этого также необходимо заложить в смету страховые выплаты в объеме 27,1 %.</w:t>
      </w:r>
      <w:r w:rsidRPr="00306529">
        <w:rPr>
          <w:rFonts w:ascii="Arial" w:hAnsi="Arial" w:cs="Arial"/>
          <w:color w:val="000000"/>
        </w:rPr>
        <w:br/>
      </w:r>
      <w:r w:rsidRPr="00306529">
        <w:rPr>
          <w:rFonts w:ascii="Arial" w:hAnsi="Arial" w:cs="Arial"/>
          <w:color w:val="000000"/>
        </w:rPr>
        <w:br/>
        <w:t xml:space="preserve">Для заключения договора с иностранными гражданами им необходимо получить рабочую визу. В договор вносятся паспортные данные приглашенного специалиста и банковские реквизиты, к договору прикладывается копия страницы паспорта с фото и страницы с визой в РФ. Иностранным специалистам также необходимо подать заявление на получение СНИЛС. Для граждан РФ в договор вносятся паспортные данные, реквизиты счета в российском банке, информация о номере ИНН и СНИЛС, к договору прикладывается копия страницы паспорта с фото и страницы с информацией о регистрации. Шаблоны договоров доступны на сайте </w:t>
      </w:r>
      <w:hyperlink r:id="rId14" w:history="1">
        <w:r w:rsidRPr="00306529">
          <w:rPr>
            <w:rStyle w:val="a3"/>
            <w:rFonts w:ascii="Arial" w:hAnsi="Arial" w:cs="Arial"/>
          </w:rPr>
          <w:t>Правового управления</w:t>
        </w:r>
      </w:hyperlink>
      <w:r w:rsidRPr="00306529">
        <w:rPr>
          <w:rFonts w:ascii="Arial" w:hAnsi="Arial" w:cs="Arial"/>
          <w:color w:val="000000"/>
        </w:rPr>
        <w:t xml:space="preserve">. Со стороны Управления персонала о заключении договоров ГПХ с иностранными специалистами консультирует </w:t>
      </w:r>
      <w:r w:rsidRPr="00306529">
        <w:rPr>
          <w:rFonts w:ascii="Arial" w:hAnsi="Arial" w:cs="Arial"/>
          <w:b/>
          <w:color w:val="000000"/>
        </w:rPr>
        <w:t>Захаров Антон Андреевич.</w:t>
      </w:r>
    </w:p>
    <w:p w:rsidR="00306529" w:rsidRPr="00306529" w:rsidRDefault="00306529" w:rsidP="00306529">
      <w:pPr>
        <w:pStyle w:val="4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06529">
        <w:rPr>
          <w:rFonts w:ascii="Arial" w:hAnsi="Arial" w:cs="Arial"/>
          <w:color w:val="000000"/>
          <w:sz w:val="24"/>
          <w:szCs w:val="24"/>
        </w:rPr>
        <w:t>Проживание</w:t>
      </w:r>
    </w:p>
    <w:p w:rsidR="00306529" w:rsidRPr="00306529" w:rsidRDefault="00306529" w:rsidP="00306529">
      <w:pPr>
        <w:pStyle w:val="text"/>
        <w:shd w:val="clear" w:color="auto" w:fill="FFFFFF"/>
        <w:rPr>
          <w:rFonts w:ascii="Arial" w:hAnsi="Arial" w:cs="Arial"/>
          <w:color w:val="000000"/>
        </w:rPr>
      </w:pPr>
      <w:r w:rsidRPr="00306529">
        <w:rPr>
          <w:rFonts w:ascii="Arial" w:hAnsi="Arial" w:cs="Arial"/>
          <w:color w:val="000000"/>
        </w:rPr>
        <w:t xml:space="preserve">Проживание в </w:t>
      </w:r>
      <w:hyperlink r:id="rId15" w:history="1">
        <w:r w:rsidRPr="00306529">
          <w:rPr>
            <w:rStyle w:val="a3"/>
            <w:rFonts w:ascii="Arial" w:hAnsi="Arial" w:cs="Arial"/>
          </w:rPr>
          <w:t>Профессорской гостинице</w:t>
        </w:r>
      </w:hyperlink>
      <w:r w:rsidRPr="00306529">
        <w:rPr>
          <w:rFonts w:ascii="Arial" w:hAnsi="Arial" w:cs="Arial"/>
          <w:color w:val="000000"/>
        </w:rPr>
        <w:t xml:space="preserve"> НИУ ВШЭ возможно за счет сре</w:t>
      </w:r>
      <w:proofErr w:type="gramStart"/>
      <w:r w:rsidRPr="00306529">
        <w:rPr>
          <w:rFonts w:ascii="Arial" w:hAnsi="Arial" w:cs="Arial"/>
          <w:color w:val="000000"/>
        </w:rPr>
        <w:t>дств пр</w:t>
      </w:r>
      <w:proofErr w:type="gramEnd"/>
      <w:r w:rsidRPr="00306529">
        <w:rPr>
          <w:rFonts w:ascii="Arial" w:hAnsi="Arial" w:cs="Arial"/>
          <w:color w:val="000000"/>
        </w:rPr>
        <w:t xml:space="preserve">иглашающего подразделения. В случае если средства на финансирование проживания запрашиваются подразделением, необходимо рассчитать требуемую сумму исходя из стоимости номеров </w:t>
      </w:r>
      <w:proofErr w:type="gramStart"/>
      <w:r w:rsidRPr="00306529">
        <w:rPr>
          <w:rFonts w:ascii="Arial" w:hAnsi="Arial" w:cs="Arial"/>
          <w:color w:val="000000"/>
        </w:rPr>
        <w:t>эконом-класса</w:t>
      </w:r>
      <w:proofErr w:type="gramEnd"/>
      <w:r w:rsidRPr="00306529">
        <w:rPr>
          <w:rFonts w:ascii="Arial" w:hAnsi="Arial" w:cs="Arial"/>
          <w:color w:val="000000"/>
        </w:rPr>
        <w:t xml:space="preserve"> во внешних гостиницах.</w:t>
      </w:r>
    </w:p>
    <w:p w:rsidR="00306529" w:rsidRPr="00306529" w:rsidRDefault="00306529" w:rsidP="00306529">
      <w:pPr>
        <w:pStyle w:val="4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06529">
        <w:rPr>
          <w:rFonts w:ascii="Arial" w:hAnsi="Arial" w:cs="Arial"/>
          <w:color w:val="000000"/>
          <w:sz w:val="24"/>
          <w:szCs w:val="24"/>
        </w:rPr>
        <w:lastRenderedPageBreak/>
        <w:t xml:space="preserve">Запрашиваемая сумма </w:t>
      </w:r>
      <w:proofErr w:type="spellStart"/>
      <w:r w:rsidRPr="00306529">
        <w:rPr>
          <w:rFonts w:ascii="Arial" w:hAnsi="Arial" w:cs="Arial"/>
          <w:color w:val="000000"/>
          <w:sz w:val="24"/>
          <w:szCs w:val="24"/>
        </w:rPr>
        <w:t>vs</w:t>
      </w:r>
      <w:proofErr w:type="spellEnd"/>
      <w:r w:rsidRPr="00306529">
        <w:rPr>
          <w:rFonts w:ascii="Arial" w:hAnsi="Arial" w:cs="Arial"/>
          <w:color w:val="000000"/>
          <w:sz w:val="24"/>
          <w:szCs w:val="24"/>
        </w:rPr>
        <w:t>. общая стоимость визита</w:t>
      </w:r>
    </w:p>
    <w:p w:rsidR="00306529" w:rsidRPr="00306529" w:rsidRDefault="00306529" w:rsidP="00306529">
      <w:pPr>
        <w:pStyle w:val="text"/>
        <w:shd w:val="clear" w:color="auto" w:fill="FFFFFF"/>
        <w:rPr>
          <w:rFonts w:ascii="Arial" w:hAnsi="Arial" w:cs="Arial"/>
          <w:color w:val="000000"/>
        </w:rPr>
      </w:pPr>
      <w:r w:rsidRPr="00306529">
        <w:rPr>
          <w:rFonts w:ascii="Arial" w:hAnsi="Arial" w:cs="Arial"/>
          <w:color w:val="000000"/>
        </w:rPr>
        <w:t xml:space="preserve">Пожалуйста, учтите при заполнении заявки, что запрашиваемая сумма — это объем финансирования, который подразделение запрашивает у комиссии. Общая стоимость визита включает в себя запрашиваемую сумму, а также объем </w:t>
      </w:r>
      <w:proofErr w:type="spellStart"/>
      <w:r w:rsidRPr="00306529">
        <w:rPr>
          <w:rFonts w:ascii="Arial" w:hAnsi="Arial" w:cs="Arial"/>
          <w:color w:val="000000"/>
        </w:rPr>
        <w:t>софинансирования</w:t>
      </w:r>
      <w:proofErr w:type="spellEnd"/>
      <w:r w:rsidRPr="00306529">
        <w:rPr>
          <w:rFonts w:ascii="Arial" w:hAnsi="Arial" w:cs="Arial"/>
          <w:color w:val="000000"/>
        </w:rPr>
        <w:t xml:space="preserve"> из разных источников. </w:t>
      </w:r>
    </w:p>
    <w:p w:rsidR="00306529" w:rsidRPr="00306529" w:rsidRDefault="00306529" w:rsidP="00306529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06529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Требования и рекомендации к подаваемой заявке (а также информация об организации визитов) подробно описаны </w:t>
      </w:r>
      <w:hyperlink r:id="rId16" w:history="1">
        <w:r w:rsidRPr="00306529">
          <w:rPr>
            <w:rFonts w:ascii="Arial" w:eastAsia="Times New Roman" w:hAnsi="Arial" w:cs="Arial"/>
            <w:b/>
            <w:iCs/>
            <w:color w:val="0000FF"/>
            <w:sz w:val="24"/>
            <w:szCs w:val="24"/>
            <w:lang w:eastAsia="ru-RU"/>
          </w:rPr>
          <w:t>на сайте Дирекции по интернационализации</w:t>
        </w:r>
      </w:hyperlink>
      <w:r w:rsidRPr="00306529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.</w:t>
      </w:r>
    </w:p>
    <w:p w:rsidR="009F7ABF" w:rsidRPr="00306529" w:rsidRDefault="009F7ABF">
      <w:pPr>
        <w:rPr>
          <w:rFonts w:ascii="Arial" w:hAnsi="Arial" w:cs="Arial"/>
          <w:sz w:val="24"/>
          <w:szCs w:val="24"/>
        </w:rPr>
      </w:pPr>
    </w:p>
    <w:sectPr w:rsidR="009F7ABF" w:rsidRPr="0030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PTWebDem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81A"/>
    <w:multiLevelType w:val="multilevel"/>
    <w:tmpl w:val="4838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29"/>
    <w:rsid w:val="00306529"/>
    <w:rsid w:val="005F3E32"/>
    <w:rsid w:val="005F5D24"/>
    <w:rsid w:val="009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529"/>
    <w:pPr>
      <w:spacing w:before="60" w:after="0" w:line="240" w:lineRule="auto"/>
      <w:outlineLvl w:val="0"/>
    </w:pPr>
    <w:rPr>
      <w:rFonts w:ascii="FuturaPTWebDemi" w:eastAsia="Times New Roman" w:hAnsi="FuturaPTWebDemi" w:cs="Times New Roman"/>
      <w:kern w:val="36"/>
      <w:sz w:val="55"/>
      <w:szCs w:val="5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65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29"/>
    <w:rPr>
      <w:rFonts w:ascii="FuturaPTWebDemi" w:eastAsia="Times New Roman" w:hAnsi="FuturaPTWebDemi" w:cs="Times New Roman"/>
      <w:kern w:val="36"/>
      <w:sz w:val="55"/>
      <w:szCs w:val="55"/>
      <w:lang w:eastAsia="ru-RU"/>
    </w:rPr>
  </w:style>
  <w:style w:type="character" w:styleId="a3">
    <w:name w:val="Hyperlink"/>
    <w:basedOn w:val="a0"/>
    <w:uiPriority w:val="99"/>
    <w:unhideWhenUsed/>
    <w:rsid w:val="00306529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306529"/>
    <w:rPr>
      <w:b/>
      <w:bCs/>
    </w:rPr>
  </w:style>
  <w:style w:type="character" w:customStyle="1" w:styleId="file8">
    <w:name w:val="file8"/>
    <w:basedOn w:val="a0"/>
    <w:rsid w:val="00306529"/>
  </w:style>
  <w:style w:type="character" w:customStyle="1" w:styleId="fileinfo">
    <w:name w:val="fileinfo"/>
    <w:basedOn w:val="a0"/>
    <w:rsid w:val="00306529"/>
  </w:style>
  <w:style w:type="character" w:customStyle="1" w:styleId="30">
    <w:name w:val="Заголовок 3 Знак"/>
    <w:basedOn w:val="a0"/>
    <w:link w:val="3"/>
    <w:uiPriority w:val="9"/>
    <w:semiHidden/>
    <w:rsid w:val="00306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65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3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529"/>
    <w:pPr>
      <w:spacing w:before="60" w:after="0" w:line="240" w:lineRule="auto"/>
      <w:outlineLvl w:val="0"/>
    </w:pPr>
    <w:rPr>
      <w:rFonts w:ascii="FuturaPTWebDemi" w:eastAsia="Times New Roman" w:hAnsi="FuturaPTWebDemi" w:cs="Times New Roman"/>
      <w:kern w:val="36"/>
      <w:sz w:val="55"/>
      <w:szCs w:val="5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65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29"/>
    <w:rPr>
      <w:rFonts w:ascii="FuturaPTWebDemi" w:eastAsia="Times New Roman" w:hAnsi="FuturaPTWebDemi" w:cs="Times New Roman"/>
      <w:kern w:val="36"/>
      <w:sz w:val="55"/>
      <w:szCs w:val="55"/>
      <w:lang w:eastAsia="ru-RU"/>
    </w:rPr>
  </w:style>
  <w:style w:type="character" w:styleId="a3">
    <w:name w:val="Hyperlink"/>
    <w:basedOn w:val="a0"/>
    <w:uiPriority w:val="99"/>
    <w:unhideWhenUsed/>
    <w:rsid w:val="00306529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306529"/>
    <w:rPr>
      <w:b/>
      <w:bCs/>
    </w:rPr>
  </w:style>
  <w:style w:type="character" w:customStyle="1" w:styleId="file8">
    <w:name w:val="file8"/>
    <w:basedOn w:val="a0"/>
    <w:rsid w:val="00306529"/>
  </w:style>
  <w:style w:type="character" w:customStyle="1" w:styleId="fileinfo">
    <w:name w:val="fileinfo"/>
    <w:basedOn w:val="a0"/>
    <w:rsid w:val="00306529"/>
  </w:style>
  <w:style w:type="character" w:customStyle="1" w:styleId="30">
    <w:name w:val="Заголовок 3 Знак"/>
    <w:basedOn w:val="a0"/>
    <w:link w:val="3"/>
    <w:uiPriority w:val="9"/>
    <w:semiHidden/>
    <w:rsid w:val="00306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65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3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680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1384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2364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485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540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796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2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3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ingscholar.hse.ru/" TargetMode="External"/><Relationship Id="rId13" Type="http://schemas.openxmlformats.org/officeDocument/2006/relationships/hyperlink" Target="http://ifaculty.hse.ru/contrac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sitingscholar.hse.ru/application/" TargetMode="External"/><Relationship Id="rId12" Type="http://schemas.openxmlformats.org/officeDocument/2006/relationships/hyperlink" Target="https://www.hse.ru/data/2016/02/19/1138801206/Agreement%20%2528Russian%20citizens%2529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sitingscholar.hs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zhukova@hse.ru" TargetMode="External"/><Relationship Id="rId11" Type="http://schemas.openxmlformats.org/officeDocument/2006/relationships/hyperlink" Target="https://www.hse.ru/data/2016/02/19/1138801183/Agreement%20%2528non%20Russian%20citizens%252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sitingscholar.hse.ru/hotels/" TargetMode="External"/><Relationship Id="rId10" Type="http://schemas.openxmlformats.org/officeDocument/2006/relationships/hyperlink" Target="https://www.hse.ru/data/2016/02/19/1138801247/%D0%9A%D1%80%D0%B0%D1%82%D0%BA%D0%BE%D1%81%D1%80%D0%BE%D1%87%D0%BD%D1%8B%D0%B5%20%D0%B2%D0%B8%D0%B7%D0%B8%D1%82%D1%8B%20-%20%D0%B7%D0%B0%D1%8F%D0%B2%D0%BA%D0%B0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itingscholar@hse.ru" TargetMode="External"/><Relationship Id="rId14" Type="http://schemas.openxmlformats.org/officeDocument/2006/relationships/hyperlink" Target="http://legal.hse.ru/fiz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2017-01-24T12:11:00Z</dcterms:created>
  <dcterms:modified xsi:type="dcterms:W3CDTF">2017-01-27T08:38:00Z</dcterms:modified>
</cp:coreProperties>
</file>